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4ED" w:rsidRDefault="00621E8A" w:rsidP="006B5ED6">
      <w:pPr>
        <w:tabs>
          <w:tab w:val="left" w:pos="296"/>
          <w:tab w:val="right" w:pos="9072"/>
        </w:tabs>
        <w:rPr>
          <w:b/>
          <w:sz w:val="24"/>
          <w:szCs w:val="24"/>
        </w:rPr>
      </w:pPr>
      <w:r>
        <w:rPr>
          <w:rFonts w:ascii="Bookman Old Style" w:hAnsi="Bookman Old Style"/>
          <w:b/>
          <w:i/>
          <w:noProof/>
          <w:color w:val="FF0000"/>
          <w:sz w:val="32"/>
          <w:szCs w:val="32"/>
        </w:rPr>
        <mc:AlternateContent>
          <mc:Choice Requires="wps">
            <w:drawing>
              <wp:anchor distT="0" distB="0" distL="114300" distR="114300" simplePos="0" relativeHeight="251660288" behindDoc="0" locked="0" layoutInCell="1" allowOverlap="1">
                <wp:simplePos x="0" y="0"/>
                <wp:positionH relativeFrom="column">
                  <wp:posOffset>2847340</wp:posOffset>
                </wp:positionH>
                <wp:positionV relativeFrom="paragraph">
                  <wp:posOffset>137160</wp:posOffset>
                </wp:positionV>
                <wp:extent cx="3295650" cy="1251585"/>
                <wp:effectExtent l="13335" t="5080" r="5715"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251585"/>
                        </a:xfrm>
                        <a:prstGeom prst="rect">
                          <a:avLst/>
                        </a:prstGeom>
                        <a:solidFill>
                          <a:srgbClr val="FFFFFF"/>
                        </a:solidFill>
                        <a:ln w="9525">
                          <a:solidFill>
                            <a:schemeClr val="bg1">
                              <a:lumMod val="100000"/>
                              <a:lumOff val="0"/>
                            </a:schemeClr>
                          </a:solidFill>
                          <a:miter lim="800000"/>
                          <a:headEnd/>
                          <a:tailEnd/>
                        </a:ln>
                      </wps:spPr>
                      <wps:txbx>
                        <w:txbxContent>
                          <w:p w:rsidR="006B5ED6" w:rsidRDefault="006B5ED6" w:rsidP="006B5ED6">
                            <w:pPr>
                              <w:jc w:val="right"/>
                              <w:rPr>
                                <w:rFonts w:ascii="Bookman Old Style" w:hAnsi="Bookman Old Style"/>
                                <w:b/>
                                <w:i/>
                                <w:color w:val="FF0000"/>
                                <w:sz w:val="32"/>
                                <w:szCs w:val="32"/>
                              </w:rPr>
                            </w:pPr>
                            <w:r>
                              <w:rPr>
                                <w:rFonts w:ascii="Bookman Old Style" w:hAnsi="Bookman Old Style"/>
                                <w:b/>
                                <w:i/>
                                <w:color w:val="FF0000"/>
                                <w:sz w:val="32"/>
                                <w:szCs w:val="32"/>
                              </w:rPr>
                              <w:t>SPASEEN-FO</w:t>
                            </w:r>
                          </w:p>
                          <w:p w:rsidR="006B5ED6" w:rsidRDefault="006B5ED6" w:rsidP="006B5ED6">
                            <w:pPr>
                              <w:spacing w:before="120"/>
                              <w:jc w:val="right"/>
                              <w:rPr>
                                <w:b/>
                                <w:i/>
                              </w:rPr>
                            </w:pPr>
                            <w:r>
                              <w:rPr>
                                <w:b/>
                                <w:i/>
                              </w:rPr>
                              <w:t>Section de la Haute-Garonne</w:t>
                            </w:r>
                          </w:p>
                          <w:p w:rsidR="006B5ED6" w:rsidRDefault="006B5ED6" w:rsidP="006B5ED6">
                            <w:pPr>
                              <w:jc w:val="right"/>
                              <w:rPr>
                                <w:rFonts w:ascii="Comic Sans MS" w:hAnsi="Comic Sans MS"/>
                                <w:b/>
                              </w:rPr>
                            </w:pPr>
                            <w:r>
                              <w:rPr>
                                <w:b/>
                                <w:i/>
                              </w:rPr>
                              <w:t>93, Bd de Suisse, 31200 Toulouse</w:t>
                            </w:r>
                          </w:p>
                          <w:p w:rsidR="006B5ED6" w:rsidRDefault="006B5ED6" w:rsidP="006B5ED6">
                            <w:pPr>
                              <w:jc w:val="right"/>
                            </w:pPr>
                            <w:r>
                              <w:rPr>
                                <w:b/>
                                <w:i/>
                              </w:rPr>
                              <w:t xml:space="preserve">Tel/fax : 05 61 47 89 55   mail : </w:t>
                            </w:r>
                            <w:hyperlink r:id="rId5" w:history="1">
                              <w:r>
                                <w:rPr>
                                  <w:rStyle w:val="Lienhypertexte"/>
                                  <w:b/>
                                  <w:i/>
                                </w:rPr>
                                <w:t>spaseen31@gmail.com</w:t>
                              </w:r>
                            </w:hyperlink>
                          </w:p>
                          <w:p w:rsidR="006B5ED6" w:rsidRDefault="006B5ED6" w:rsidP="006B5ED6">
                            <w:pPr>
                              <w:pStyle w:val="Corpsdetexte"/>
                              <w:ind w:right="-236"/>
                              <w:jc w:val="center"/>
                              <w:rPr>
                                <w:b/>
                                <w:sz w:val="24"/>
                                <w:szCs w:val="24"/>
                              </w:rPr>
                            </w:pPr>
                          </w:p>
                          <w:p w:rsidR="006B5ED6" w:rsidRDefault="006B5ED6"/>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4.2pt;margin-top:10.8pt;width:259.5pt;height:98.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" strokecolor="white [3212]">
                <v:textbox style="mso-fit-shape-to-text:t">
                  <w:txbxContent>
                    <w:p w:rsidR="006B5ED6" w:rsidRDefault="006B5ED6" w:rsidP="006B5ED6">
                      <w:pPr>
                        <w:jc w:val="right"/>
                        <w:rPr>
                          <w:rFonts w:ascii="Bookman Old Style" w:hAnsi="Bookman Old Style"/>
                          <w:b/>
                          <w:i/>
                          <w:color w:val="FF0000"/>
                          <w:sz w:val="32"/>
                          <w:szCs w:val="32"/>
                        </w:rPr>
                      </w:pPr>
                      <w:r>
                        <w:rPr>
                          <w:rFonts w:ascii="Bookman Old Style" w:hAnsi="Bookman Old Style"/>
                          <w:b/>
                          <w:i/>
                          <w:color w:val="FF0000"/>
                          <w:sz w:val="32"/>
                          <w:szCs w:val="32"/>
                        </w:rPr>
                        <w:t>SPASEEN-FO</w:t>
                      </w:r>
                    </w:p>
                    <w:p w:rsidR="006B5ED6" w:rsidRDefault="006B5ED6" w:rsidP="006B5ED6">
                      <w:pPr>
                        <w:spacing w:before="120"/>
                        <w:jc w:val="right"/>
                        <w:rPr>
                          <w:b/>
                          <w:i/>
                        </w:rPr>
                      </w:pPr>
                      <w:r>
                        <w:rPr>
                          <w:b/>
                          <w:i/>
                        </w:rPr>
                        <w:t>Section de la Haute-Garonne</w:t>
                      </w:r>
                    </w:p>
                    <w:p w:rsidR="006B5ED6" w:rsidRDefault="006B5ED6" w:rsidP="006B5ED6">
                      <w:pPr>
                        <w:jc w:val="right"/>
                        <w:rPr>
                          <w:rFonts w:ascii="Comic Sans MS" w:hAnsi="Comic Sans MS"/>
                          <w:b/>
                        </w:rPr>
                      </w:pPr>
                      <w:r>
                        <w:rPr>
                          <w:b/>
                          <w:i/>
                        </w:rPr>
                        <w:t>93, Bd de Suisse, 31200 Toulouse</w:t>
                      </w:r>
                    </w:p>
                    <w:p w:rsidR="006B5ED6" w:rsidRDefault="006B5ED6" w:rsidP="006B5ED6">
                      <w:pPr>
                        <w:jc w:val="right"/>
                      </w:pPr>
                      <w:r>
                        <w:rPr>
                          <w:b/>
                          <w:i/>
                        </w:rPr>
                        <w:t xml:space="preserve">Tel/fax : 05 61 47 89 55   mail : </w:t>
                      </w:r>
                      <w:hyperlink r:id="rId6" w:history="1">
                        <w:r>
                          <w:rPr>
                            <w:rStyle w:val="Lienhypertexte"/>
                            <w:b/>
                            <w:i/>
                          </w:rPr>
                          <w:t>spaseen31@gmail.com</w:t>
                        </w:r>
                      </w:hyperlink>
                    </w:p>
                    <w:p w:rsidR="006B5ED6" w:rsidRDefault="006B5ED6" w:rsidP="006B5ED6">
                      <w:pPr>
                        <w:pStyle w:val="Corpsdetexte"/>
                        <w:ind w:right="-236"/>
                        <w:jc w:val="center"/>
                        <w:rPr>
                          <w:b/>
                          <w:sz w:val="24"/>
                          <w:szCs w:val="24"/>
                        </w:rPr>
                      </w:pPr>
                    </w:p>
                    <w:p w:rsidR="006B5ED6" w:rsidRDefault="006B5ED6"/>
                  </w:txbxContent>
                </v:textbox>
              </v:shape>
            </w:pict>
          </mc:Fallback>
        </mc:AlternateContent>
      </w:r>
      <w:r w:rsidR="006B5ED6">
        <w:rPr>
          <w:rFonts w:ascii="Bookman Old Style" w:hAnsi="Bookman Old Style"/>
          <w:b/>
          <w:i/>
          <w:color w:val="FF0000"/>
          <w:sz w:val="32"/>
          <w:szCs w:val="32"/>
        </w:rPr>
        <w:tab/>
      </w:r>
      <w:r w:rsidR="006B5ED6" w:rsidRPr="006B5ED6">
        <w:rPr>
          <w:rFonts w:ascii="Bookman Old Style" w:hAnsi="Bookman Old Style"/>
          <w:b/>
          <w:i/>
          <w:noProof/>
          <w:color w:val="FF0000"/>
          <w:sz w:val="32"/>
          <w:szCs w:val="32"/>
        </w:rPr>
        <w:drawing>
          <wp:inline distT="0" distB="0" distL="0" distR="0">
            <wp:extent cx="1396093" cy="1053137"/>
            <wp:effectExtent l="0" t="0" r="0" b="0"/>
            <wp:docPr id="6" name="Image 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d'origine"/>
                    <pic:cNvPicPr>
                      <a:picLocks noChangeAspect="1" noChangeArrowheads="1"/>
                    </pic:cNvPicPr>
                  </pic:nvPicPr>
                  <pic:blipFill>
                    <a:blip r:embed="rId7" cstate="print"/>
                    <a:srcRect/>
                    <a:stretch>
                      <a:fillRect/>
                    </a:stretch>
                  </pic:blipFill>
                  <pic:spPr bwMode="auto">
                    <a:xfrm>
                      <a:off x="0" y="0"/>
                      <a:ext cx="1405083" cy="1059919"/>
                    </a:xfrm>
                    <a:prstGeom prst="rect">
                      <a:avLst/>
                    </a:prstGeom>
                    <a:noFill/>
                    <a:ln w="9525">
                      <a:noFill/>
                      <a:miter lim="800000"/>
                      <a:headEnd/>
                      <a:tailEnd/>
                    </a:ln>
                  </pic:spPr>
                </pic:pic>
              </a:graphicData>
            </a:graphic>
          </wp:inline>
        </w:drawing>
      </w:r>
      <w:r w:rsidR="006B5ED6">
        <w:rPr>
          <w:rFonts w:ascii="Bookman Old Style" w:hAnsi="Bookman Old Style"/>
          <w:b/>
          <w:i/>
          <w:color w:val="FF0000"/>
          <w:sz w:val="32"/>
          <w:szCs w:val="32"/>
        </w:rPr>
        <w:tab/>
        <w:t xml:space="preserve">                                                </w:t>
      </w:r>
    </w:p>
    <w:p w:rsidR="006B5ED6" w:rsidRDefault="006B5ED6" w:rsidP="00342D55">
      <w:pPr>
        <w:pStyle w:val="Corpsdetexte"/>
        <w:ind w:right="-236"/>
        <w:rPr>
          <w:b/>
          <w:sz w:val="24"/>
          <w:szCs w:val="24"/>
        </w:rPr>
      </w:pPr>
    </w:p>
    <w:p w:rsidR="006B5ED6" w:rsidRDefault="006B5ED6" w:rsidP="00875040">
      <w:pPr>
        <w:pStyle w:val="Corpsdetexte"/>
        <w:ind w:right="-236"/>
        <w:jc w:val="center"/>
        <w:rPr>
          <w:b/>
          <w:sz w:val="24"/>
          <w:szCs w:val="24"/>
        </w:rPr>
      </w:pPr>
    </w:p>
    <w:p w:rsidR="007E7C05" w:rsidRDefault="001C24ED" w:rsidP="00875040">
      <w:pPr>
        <w:pStyle w:val="Corpsdetexte"/>
        <w:ind w:right="-236"/>
        <w:jc w:val="center"/>
        <w:rPr>
          <w:b/>
          <w:sz w:val="24"/>
          <w:szCs w:val="24"/>
        </w:rPr>
      </w:pPr>
      <w:r>
        <w:rPr>
          <w:b/>
          <w:sz w:val="24"/>
          <w:szCs w:val="24"/>
        </w:rPr>
        <w:t>Déclaration liminaire du syndicat des personnels administratifs Force Ouvrière au CTS du 6 mars 2017</w:t>
      </w:r>
    </w:p>
    <w:p w:rsidR="005036D2" w:rsidRDefault="0035186B" w:rsidP="00342D55">
      <w:pPr>
        <w:pStyle w:val="Corpsdetexte"/>
        <w:ind w:right="-236"/>
        <w:rPr>
          <w:b/>
          <w:sz w:val="24"/>
          <w:szCs w:val="24"/>
        </w:rPr>
      </w:pPr>
      <w:r>
        <w:rPr>
          <w:b/>
          <w:sz w:val="24"/>
          <w:szCs w:val="24"/>
        </w:rPr>
        <w:t>La gestion du temps de travail.</w:t>
      </w:r>
    </w:p>
    <w:p w:rsidR="005036D2" w:rsidRPr="00B06B15" w:rsidRDefault="005036D2" w:rsidP="005036D2">
      <w:pPr>
        <w:pStyle w:val="Corpsdetexte"/>
        <w:ind w:right="-236"/>
        <w:rPr>
          <w:sz w:val="24"/>
          <w:szCs w:val="24"/>
        </w:rPr>
      </w:pPr>
      <w:r w:rsidRPr="00B06B15">
        <w:rPr>
          <w:sz w:val="24"/>
          <w:szCs w:val="24"/>
        </w:rPr>
        <w:t>Suite aux multiples demandes de Force Ouvrière pour clarifier la politique des services du rectorat en matière de récupération des heures supplémentaire, un certain dialogue s’est engagé entre l’administration et les syndicats.</w:t>
      </w:r>
    </w:p>
    <w:p w:rsidR="005036D2" w:rsidRDefault="005036D2" w:rsidP="005036D2">
      <w:pPr>
        <w:pStyle w:val="Corpsdetexte"/>
        <w:ind w:right="-236"/>
        <w:rPr>
          <w:sz w:val="24"/>
          <w:szCs w:val="24"/>
        </w:rPr>
      </w:pPr>
      <w:r w:rsidRPr="00B06B15">
        <w:rPr>
          <w:sz w:val="24"/>
          <w:szCs w:val="24"/>
        </w:rPr>
        <w:t xml:space="preserve">La pétition initiée par le </w:t>
      </w:r>
      <w:proofErr w:type="spellStart"/>
      <w:r w:rsidRPr="00B06B15">
        <w:rPr>
          <w:sz w:val="24"/>
          <w:szCs w:val="24"/>
        </w:rPr>
        <w:t>Spaseen</w:t>
      </w:r>
      <w:proofErr w:type="spellEnd"/>
      <w:r w:rsidRPr="00B06B15">
        <w:rPr>
          <w:sz w:val="24"/>
          <w:szCs w:val="24"/>
        </w:rPr>
        <w:t xml:space="preserve">-FO a recueilli en quelques jours 208 signatures, </w:t>
      </w:r>
      <w:r w:rsidR="00B06B15" w:rsidRPr="00B06B15">
        <w:rPr>
          <w:sz w:val="24"/>
          <w:szCs w:val="24"/>
        </w:rPr>
        <w:t xml:space="preserve"> démenti formel à ceux (che</w:t>
      </w:r>
      <w:r w:rsidRPr="00B06B15">
        <w:rPr>
          <w:sz w:val="24"/>
          <w:szCs w:val="24"/>
        </w:rPr>
        <w:t>fs de services ou même représentants syndicaux qui prétendaient : il n’y a pas de problème au rectorat sur ce sujet</w:t>
      </w:r>
      <w:r w:rsidR="00B06B15">
        <w:rPr>
          <w:sz w:val="24"/>
          <w:szCs w:val="24"/>
        </w:rPr>
        <w:t> !</w:t>
      </w:r>
      <w:r w:rsidR="00B06B15" w:rsidRPr="00B06B15">
        <w:rPr>
          <w:sz w:val="24"/>
          <w:szCs w:val="24"/>
        </w:rPr>
        <w:t>)</w:t>
      </w:r>
      <w:r w:rsidR="00B06B15">
        <w:rPr>
          <w:sz w:val="24"/>
          <w:szCs w:val="24"/>
        </w:rPr>
        <w:t>.</w:t>
      </w:r>
    </w:p>
    <w:p w:rsidR="00B06B15" w:rsidRDefault="00B06B15" w:rsidP="005036D2">
      <w:pPr>
        <w:pStyle w:val="Corpsdetexte"/>
        <w:ind w:right="-236"/>
        <w:rPr>
          <w:sz w:val="24"/>
          <w:szCs w:val="24"/>
        </w:rPr>
      </w:pPr>
      <w:r>
        <w:rPr>
          <w:sz w:val="24"/>
          <w:szCs w:val="24"/>
        </w:rPr>
        <w:t>Rappelons ce que demandait cette pétition :</w:t>
      </w:r>
    </w:p>
    <w:p w:rsidR="00B06B15" w:rsidRPr="00342F72" w:rsidRDefault="00B06B15" w:rsidP="00B06B15">
      <w:pPr>
        <w:shd w:val="clear" w:color="auto" w:fill="FFFFFF"/>
        <w:textAlignment w:val="center"/>
        <w:rPr>
          <w:i/>
          <w:color w:val="17365D" w:themeColor="text2" w:themeShade="BF"/>
          <w:sz w:val="24"/>
          <w:szCs w:val="24"/>
        </w:rPr>
      </w:pPr>
      <w:r w:rsidRPr="00342F72">
        <w:rPr>
          <w:bCs/>
          <w:i/>
          <w:color w:val="17365D" w:themeColor="text2" w:themeShade="BF"/>
          <w:sz w:val="24"/>
          <w:szCs w:val="24"/>
        </w:rPr>
        <w:t>Je demande l’application pure et simple de la circulaire de gestion du temps de travail du 29 aout 2016 de manière identique dans tous les services du rectorat de Toulouse</w:t>
      </w:r>
      <w:r w:rsidR="00342F72" w:rsidRPr="00342F72">
        <w:rPr>
          <w:bCs/>
          <w:i/>
          <w:color w:val="17365D" w:themeColor="text2" w:themeShade="BF"/>
          <w:sz w:val="24"/>
          <w:szCs w:val="24"/>
        </w:rPr>
        <w:t>.</w:t>
      </w:r>
      <w:r w:rsidRPr="00342F72">
        <w:rPr>
          <w:i/>
          <w:iCs/>
          <w:color w:val="17365D" w:themeColor="text2" w:themeShade="BF"/>
          <w:sz w:val="24"/>
          <w:szCs w:val="24"/>
        </w:rPr>
        <w:t> </w:t>
      </w:r>
    </w:p>
    <w:p w:rsidR="00B06B15" w:rsidRPr="00342F72" w:rsidRDefault="00B06B15" w:rsidP="00B06B15">
      <w:pPr>
        <w:shd w:val="clear" w:color="auto" w:fill="FFFFFF"/>
        <w:textAlignment w:val="center"/>
        <w:rPr>
          <w:i/>
          <w:iCs/>
          <w:color w:val="17365D" w:themeColor="text2" w:themeShade="BF"/>
          <w:sz w:val="24"/>
          <w:szCs w:val="24"/>
        </w:rPr>
      </w:pPr>
      <w:r w:rsidRPr="00342F72">
        <w:rPr>
          <w:bCs/>
          <w:i/>
          <w:color w:val="17365D" w:themeColor="text2" w:themeShade="BF"/>
          <w:sz w:val="24"/>
          <w:szCs w:val="24"/>
        </w:rPr>
        <w:t>Je demande que chaque service soit traité avec équité que la circulaire soit appliquée sans clauses restrictives.</w:t>
      </w:r>
    </w:p>
    <w:p w:rsidR="00B06B15" w:rsidRPr="00342F72" w:rsidRDefault="00B06B15" w:rsidP="00B06B15">
      <w:pPr>
        <w:shd w:val="clear" w:color="auto" w:fill="FFFFFF"/>
        <w:textAlignment w:val="center"/>
        <w:rPr>
          <w:bCs/>
          <w:i/>
          <w:color w:val="17365D" w:themeColor="text2" w:themeShade="BF"/>
          <w:sz w:val="24"/>
          <w:szCs w:val="24"/>
        </w:rPr>
      </w:pPr>
      <w:r w:rsidRPr="00342F72">
        <w:rPr>
          <w:bCs/>
          <w:i/>
          <w:color w:val="17365D" w:themeColor="text2" w:themeShade="BF"/>
          <w:sz w:val="24"/>
          <w:szCs w:val="24"/>
        </w:rPr>
        <w:t>Je souhaite que la gestion du temps à l’intérieur d’un service, relève d’un climat de confiance et de responsabilisation de chaque agent.</w:t>
      </w:r>
    </w:p>
    <w:p w:rsidR="00B06B15" w:rsidRPr="00342F72" w:rsidRDefault="00B06B15" w:rsidP="00B06B15">
      <w:pPr>
        <w:shd w:val="clear" w:color="auto" w:fill="FFFFFF"/>
        <w:textAlignment w:val="center"/>
        <w:rPr>
          <w:bCs/>
          <w:i/>
          <w:color w:val="17365D" w:themeColor="text2" w:themeShade="BF"/>
          <w:sz w:val="24"/>
          <w:szCs w:val="24"/>
        </w:rPr>
      </w:pPr>
      <w:r w:rsidRPr="00342F72">
        <w:rPr>
          <w:bCs/>
          <w:i/>
          <w:color w:val="17365D" w:themeColor="text2" w:themeShade="BF"/>
          <w:sz w:val="24"/>
          <w:szCs w:val="24"/>
        </w:rPr>
        <w:t>Je ne conteste pas le fait que les abus ne peuvent donner droit à ces récupérations.</w:t>
      </w:r>
    </w:p>
    <w:p w:rsidR="00B06B15" w:rsidRPr="00B06B15" w:rsidRDefault="00B06B15" w:rsidP="00B06B15">
      <w:pPr>
        <w:shd w:val="clear" w:color="auto" w:fill="FFFFFF"/>
        <w:textAlignment w:val="center"/>
        <w:rPr>
          <w:bCs/>
          <w:color w:val="222222"/>
          <w:sz w:val="24"/>
          <w:szCs w:val="24"/>
        </w:rPr>
      </w:pPr>
    </w:p>
    <w:p w:rsidR="00B06B15" w:rsidRDefault="00342F72" w:rsidP="005036D2">
      <w:pPr>
        <w:pStyle w:val="Corpsdetexte"/>
        <w:ind w:right="-236"/>
        <w:rPr>
          <w:sz w:val="24"/>
          <w:szCs w:val="24"/>
        </w:rPr>
      </w:pPr>
      <w:r>
        <w:rPr>
          <w:sz w:val="24"/>
          <w:szCs w:val="24"/>
        </w:rPr>
        <w:t>Aujourd’hui Force Ouvrière constate que le projet de circulaire sur ces récupérations va plutôt dans le bon sens : sensibilisation des chefs de service sur ce sujet, réaffirmation du principe de la possibilité de récupérer à hauteur de 2 jours par mois et ouverture d’un droit à récupération pour les catégories A (droit toutefois que nous jugeons encore trop restrictif : ½ j ou 1 journée à titre très exceptionnel).</w:t>
      </w:r>
    </w:p>
    <w:p w:rsidR="00342F72" w:rsidRDefault="00342F72" w:rsidP="005036D2">
      <w:pPr>
        <w:pStyle w:val="Corpsdetexte"/>
        <w:ind w:right="-236"/>
        <w:rPr>
          <w:sz w:val="24"/>
          <w:szCs w:val="24"/>
        </w:rPr>
      </w:pPr>
      <w:r>
        <w:rPr>
          <w:sz w:val="24"/>
          <w:szCs w:val="24"/>
        </w:rPr>
        <w:t>Malheureusement, nous craignons que certaines</w:t>
      </w:r>
      <w:r w:rsidR="00620100">
        <w:rPr>
          <w:sz w:val="24"/>
          <w:szCs w:val="24"/>
        </w:rPr>
        <w:t xml:space="preserve"> tournures de </w:t>
      </w:r>
      <w:r>
        <w:rPr>
          <w:sz w:val="24"/>
          <w:szCs w:val="24"/>
        </w:rPr>
        <w:t xml:space="preserve"> phrases de cette circulaire permettent toutes les interprétations</w:t>
      </w:r>
      <w:r w:rsidR="00342D55">
        <w:rPr>
          <w:sz w:val="24"/>
          <w:szCs w:val="24"/>
        </w:rPr>
        <w:t>. L’intégration dans le texte de cette formule</w:t>
      </w:r>
      <w:r w:rsidR="000F29D3">
        <w:rPr>
          <w:sz w:val="24"/>
          <w:szCs w:val="24"/>
        </w:rPr>
        <w:t xml:space="preserve"> : </w:t>
      </w:r>
      <w:r w:rsidR="000F29D3" w:rsidRPr="00342D55">
        <w:rPr>
          <w:color w:val="FF0000"/>
          <w:sz w:val="24"/>
          <w:szCs w:val="24"/>
        </w:rPr>
        <w:t>« le recours au heures supplémentaires devrait n’avoir lieu qu’à la demande préalable du chef de service »</w:t>
      </w:r>
      <w:r w:rsidR="00342D55">
        <w:rPr>
          <w:sz w:val="24"/>
          <w:szCs w:val="24"/>
        </w:rPr>
        <w:t xml:space="preserve"> peut autoriser toutes les déclinaisons et ainsi ne rien changer à la situation actuelle.</w:t>
      </w:r>
    </w:p>
    <w:p w:rsidR="000F29D3" w:rsidRDefault="000F29D3" w:rsidP="005036D2">
      <w:pPr>
        <w:pStyle w:val="Corpsdetexte"/>
        <w:ind w:right="-236"/>
        <w:rPr>
          <w:sz w:val="24"/>
          <w:szCs w:val="24"/>
        </w:rPr>
      </w:pPr>
      <w:r>
        <w:rPr>
          <w:sz w:val="24"/>
          <w:szCs w:val="24"/>
        </w:rPr>
        <w:t xml:space="preserve">Tout le monde sait, particulièrement ceux qui cumulent plus d’une centaine d’heures </w:t>
      </w:r>
      <w:proofErr w:type="spellStart"/>
      <w:r>
        <w:rPr>
          <w:sz w:val="24"/>
          <w:szCs w:val="24"/>
        </w:rPr>
        <w:t>supp</w:t>
      </w:r>
      <w:proofErr w:type="spellEnd"/>
      <w:r>
        <w:rPr>
          <w:sz w:val="24"/>
          <w:szCs w:val="24"/>
        </w:rPr>
        <w:t xml:space="preserve"> sur l</w:t>
      </w:r>
      <w:r w:rsidR="005C77F8">
        <w:rPr>
          <w:sz w:val="24"/>
          <w:szCs w:val="24"/>
        </w:rPr>
        <w:t>’</w:t>
      </w:r>
      <w:r>
        <w:rPr>
          <w:sz w:val="24"/>
          <w:szCs w:val="24"/>
        </w:rPr>
        <w:t>année, que ce n’est pas dans cet ordre que s’organise la réalité du travail. L’agent est amené devant l’urgence et la charge de travail à dépasser l’horaire de base pour remplir ses missions.</w:t>
      </w:r>
    </w:p>
    <w:p w:rsidR="000F29D3" w:rsidRDefault="000F29D3" w:rsidP="005036D2">
      <w:pPr>
        <w:pStyle w:val="Corpsdetexte"/>
        <w:ind w:right="-236"/>
        <w:rPr>
          <w:sz w:val="24"/>
          <w:szCs w:val="24"/>
        </w:rPr>
      </w:pPr>
      <w:r>
        <w:rPr>
          <w:sz w:val="24"/>
          <w:szCs w:val="24"/>
        </w:rPr>
        <w:t>Il n’est pas possible de prévoir du jour au lendemain quel sera le temps nécessaire pour les mener à bien. Pour nous, le chef de service ou de bureau, s’il connait la réalité de son service donne son aval ou le refuse, après demande de l’agent. Encore une fois nous ne justifierons jamais les abus de certains personnels, s’ils en co</w:t>
      </w:r>
      <w:r w:rsidR="001C19D3">
        <w:rPr>
          <w:sz w:val="24"/>
          <w:szCs w:val="24"/>
        </w:rPr>
        <w:t>m</w:t>
      </w:r>
      <w:r>
        <w:rPr>
          <w:sz w:val="24"/>
          <w:szCs w:val="24"/>
        </w:rPr>
        <w:t>mettaient.</w:t>
      </w:r>
    </w:p>
    <w:p w:rsidR="001C19D3" w:rsidRDefault="001C19D3" w:rsidP="005036D2">
      <w:pPr>
        <w:pStyle w:val="Corpsdetexte"/>
        <w:ind w:right="-236"/>
        <w:rPr>
          <w:sz w:val="24"/>
          <w:szCs w:val="24"/>
        </w:rPr>
      </w:pPr>
    </w:p>
    <w:p w:rsidR="006B5ED6" w:rsidRDefault="006B5ED6" w:rsidP="005036D2">
      <w:pPr>
        <w:pStyle w:val="Corpsdetexte"/>
        <w:ind w:right="-236"/>
        <w:rPr>
          <w:sz w:val="24"/>
          <w:szCs w:val="24"/>
        </w:rPr>
      </w:pPr>
    </w:p>
    <w:p w:rsidR="00342D55" w:rsidRDefault="00342D55" w:rsidP="005036D2">
      <w:pPr>
        <w:pStyle w:val="Corpsdetexte"/>
        <w:ind w:right="-236"/>
        <w:rPr>
          <w:sz w:val="24"/>
          <w:szCs w:val="24"/>
        </w:rPr>
      </w:pPr>
    </w:p>
    <w:p w:rsidR="00F8251D" w:rsidRDefault="00F8251D" w:rsidP="005036D2">
      <w:pPr>
        <w:pStyle w:val="Corpsdetexte"/>
        <w:ind w:right="-236"/>
        <w:rPr>
          <w:sz w:val="24"/>
          <w:szCs w:val="24"/>
        </w:rPr>
      </w:pPr>
    </w:p>
    <w:p w:rsidR="00342D55" w:rsidRDefault="00342D55" w:rsidP="005036D2">
      <w:pPr>
        <w:pStyle w:val="Corpsdetexte"/>
        <w:ind w:right="-236"/>
        <w:rPr>
          <w:sz w:val="24"/>
          <w:szCs w:val="24"/>
        </w:rPr>
      </w:pPr>
    </w:p>
    <w:p w:rsidR="001C19D3" w:rsidRDefault="001C19D3" w:rsidP="005036D2">
      <w:pPr>
        <w:pStyle w:val="Corpsdetexte"/>
        <w:ind w:right="-236"/>
        <w:rPr>
          <w:sz w:val="24"/>
          <w:szCs w:val="24"/>
        </w:rPr>
      </w:pPr>
      <w:r w:rsidRPr="001C19D3">
        <w:rPr>
          <w:b/>
          <w:sz w:val="24"/>
          <w:szCs w:val="24"/>
        </w:rPr>
        <w:lastRenderedPageBreak/>
        <w:t>La gestion des reliquats de fin d’année :</w:t>
      </w:r>
    </w:p>
    <w:p w:rsidR="001C19D3" w:rsidRPr="001C19D3" w:rsidRDefault="001C19D3" w:rsidP="001C19D3">
      <w:pPr>
        <w:adjustRightInd w:val="0"/>
        <w:spacing w:before="100" w:after="100"/>
        <w:rPr>
          <w:rFonts w:eastAsiaTheme="minorHAnsi"/>
          <w:sz w:val="24"/>
          <w:szCs w:val="24"/>
          <w:lang w:eastAsia="en-US"/>
        </w:rPr>
      </w:pPr>
      <w:r>
        <w:rPr>
          <w:rFonts w:ascii="Calibri" w:eastAsiaTheme="minorHAnsi" w:hAnsi="Calibri" w:cs="Calibri"/>
          <w:color w:val="000000"/>
          <w:sz w:val="24"/>
          <w:szCs w:val="24"/>
          <w:lang w:eastAsia="en-US"/>
        </w:rPr>
        <w:t>Nous avons fait part au cours d’une audience</w:t>
      </w:r>
      <w:r w:rsidRPr="001C19D3">
        <w:rPr>
          <w:rFonts w:ascii="Calibri" w:eastAsiaTheme="minorHAnsi" w:hAnsi="Calibri" w:cs="Calibri"/>
          <w:color w:val="000000"/>
          <w:sz w:val="24"/>
          <w:szCs w:val="24"/>
          <w:lang w:eastAsia="en-US"/>
        </w:rPr>
        <w:t xml:space="preserve"> </w:t>
      </w:r>
      <w:r>
        <w:rPr>
          <w:rFonts w:ascii="Calibri" w:eastAsiaTheme="minorHAnsi" w:hAnsi="Calibri" w:cs="Calibri"/>
          <w:color w:val="000000"/>
          <w:sz w:val="24"/>
          <w:szCs w:val="24"/>
          <w:lang w:eastAsia="en-US"/>
        </w:rPr>
        <w:t xml:space="preserve">récente, </w:t>
      </w:r>
      <w:r w:rsidRPr="001C19D3">
        <w:rPr>
          <w:rFonts w:ascii="Calibri" w:eastAsiaTheme="minorHAnsi" w:hAnsi="Calibri" w:cs="Calibri"/>
          <w:color w:val="000000"/>
          <w:sz w:val="24"/>
          <w:szCs w:val="24"/>
          <w:lang w:eastAsia="en-US"/>
        </w:rPr>
        <w:t xml:space="preserve">de notre étonnement en apprenant que sur deux services du rectorat, des primes de fin d’année </w:t>
      </w:r>
      <w:r w:rsidR="00B7692E">
        <w:rPr>
          <w:rFonts w:ascii="Calibri" w:eastAsiaTheme="minorHAnsi" w:hAnsi="Calibri" w:cs="Calibri"/>
          <w:color w:val="000000"/>
          <w:sz w:val="24"/>
          <w:szCs w:val="24"/>
          <w:lang w:eastAsia="en-US"/>
        </w:rPr>
        <w:t xml:space="preserve">avaient </w:t>
      </w:r>
      <w:r w:rsidRPr="001C19D3">
        <w:rPr>
          <w:rFonts w:ascii="Calibri" w:eastAsiaTheme="minorHAnsi" w:hAnsi="Calibri" w:cs="Calibri"/>
          <w:color w:val="000000"/>
          <w:sz w:val="24"/>
          <w:szCs w:val="24"/>
          <w:lang w:eastAsia="en-US"/>
        </w:rPr>
        <w:t>été attribuées</w:t>
      </w:r>
      <w:r w:rsidR="00AF5DD9">
        <w:rPr>
          <w:rFonts w:ascii="Calibri" w:eastAsiaTheme="minorHAnsi" w:hAnsi="Calibri" w:cs="Calibri"/>
          <w:color w:val="000000"/>
          <w:sz w:val="24"/>
          <w:szCs w:val="24"/>
          <w:lang w:eastAsia="en-US"/>
        </w:rPr>
        <w:t xml:space="preserve"> sans que le CTSA ne soit consulté au préalable</w:t>
      </w:r>
      <w:r w:rsidRPr="001C19D3">
        <w:rPr>
          <w:rFonts w:ascii="Calibri" w:eastAsiaTheme="minorHAnsi" w:hAnsi="Calibri" w:cs="Calibri"/>
          <w:color w:val="000000"/>
          <w:sz w:val="24"/>
          <w:szCs w:val="24"/>
          <w:lang w:eastAsia="en-US"/>
        </w:rPr>
        <w:t>, alors qu’aucune prime n’a été versée sur d’autres services.</w:t>
      </w:r>
    </w:p>
    <w:p w:rsidR="001C19D3" w:rsidRPr="001C19D3" w:rsidRDefault="001C19D3" w:rsidP="001C19D3">
      <w:pPr>
        <w:adjustRightInd w:val="0"/>
        <w:spacing w:before="100" w:after="100"/>
        <w:rPr>
          <w:rFonts w:eastAsiaTheme="minorHAnsi"/>
          <w:sz w:val="24"/>
          <w:szCs w:val="24"/>
          <w:lang w:eastAsia="en-US"/>
        </w:rPr>
      </w:pPr>
      <w:r w:rsidRPr="001C19D3">
        <w:rPr>
          <w:rFonts w:ascii="Calibri" w:eastAsiaTheme="minorHAnsi" w:hAnsi="Calibri" w:cs="Calibri"/>
          <w:color w:val="000000"/>
          <w:sz w:val="24"/>
          <w:szCs w:val="24"/>
          <w:lang w:eastAsia="en-US"/>
        </w:rPr>
        <w:t xml:space="preserve">Nous </w:t>
      </w:r>
      <w:r>
        <w:rPr>
          <w:rFonts w:ascii="Calibri" w:eastAsiaTheme="minorHAnsi" w:hAnsi="Calibri" w:cs="Calibri"/>
          <w:color w:val="000000"/>
          <w:sz w:val="24"/>
          <w:szCs w:val="24"/>
          <w:lang w:eastAsia="en-US"/>
        </w:rPr>
        <w:t xml:space="preserve">avons souhaité </w:t>
      </w:r>
      <w:r w:rsidRPr="001C19D3">
        <w:rPr>
          <w:rFonts w:ascii="Calibri" w:eastAsiaTheme="minorHAnsi" w:hAnsi="Calibri" w:cs="Calibri"/>
          <w:color w:val="000000"/>
          <w:sz w:val="24"/>
          <w:szCs w:val="24"/>
          <w:lang w:eastAsia="en-US"/>
        </w:rPr>
        <w:t>connaitre sur qu</w:t>
      </w:r>
      <w:r>
        <w:rPr>
          <w:rFonts w:ascii="Calibri" w:eastAsiaTheme="minorHAnsi" w:hAnsi="Calibri" w:cs="Calibri"/>
          <w:color w:val="000000"/>
          <w:sz w:val="24"/>
          <w:szCs w:val="24"/>
          <w:lang w:eastAsia="en-US"/>
        </w:rPr>
        <w:t>elles bases règlementaires s’était</w:t>
      </w:r>
      <w:r w:rsidRPr="001C19D3">
        <w:rPr>
          <w:rFonts w:ascii="Calibri" w:eastAsiaTheme="minorHAnsi" w:hAnsi="Calibri" w:cs="Calibri"/>
          <w:color w:val="000000"/>
          <w:sz w:val="24"/>
          <w:szCs w:val="24"/>
          <w:lang w:eastAsia="en-US"/>
        </w:rPr>
        <w:t xml:space="preserve"> effectuée cette attribution.</w:t>
      </w:r>
    </w:p>
    <w:p w:rsidR="001C19D3" w:rsidRPr="001C19D3" w:rsidRDefault="001C19D3" w:rsidP="001C19D3">
      <w:pPr>
        <w:adjustRightInd w:val="0"/>
        <w:spacing w:before="100" w:after="100"/>
        <w:rPr>
          <w:rFonts w:eastAsiaTheme="minorHAnsi"/>
          <w:sz w:val="24"/>
          <w:szCs w:val="24"/>
          <w:lang w:eastAsia="en-US"/>
        </w:rPr>
      </w:pPr>
      <w:r>
        <w:rPr>
          <w:rFonts w:ascii="Calibri" w:eastAsiaTheme="minorHAnsi" w:hAnsi="Calibri" w:cs="Calibri"/>
          <w:color w:val="000000"/>
          <w:sz w:val="24"/>
          <w:szCs w:val="24"/>
          <w:lang w:eastAsia="en-US"/>
        </w:rPr>
        <w:t>Au cours d’une</w:t>
      </w:r>
      <w:r w:rsidR="00862E7E">
        <w:rPr>
          <w:rFonts w:ascii="Calibri" w:eastAsiaTheme="minorHAnsi" w:hAnsi="Calibri" w:cs="Calibri"/>
          <w:color w:val="000000"/>
          <w:sz w:val="24"/>
          <w:szCs w:val="24"/>
          <w:lang w:eastAsia="en-US"/>
        </w:rPr>
        <w:t xml:space="preserve"> audience précédente, </w:t>
      </w:r>
      <w:r>
        <w:rPr>
          <w:rFonts w:ascii="Calibri" w:eastAsiaTheme="minorHAnsi" w:hAnsi="Calibri" w:cs="Calibri"/>
          <w:color w:val="000000"/>
          <w:sz w:val="24"/>
          <w:szCs w:val="24"/>
          <w:lang w:eastAsia="en-US"/>
        </w:rPr>
        <w:t xml:space="preserve"> </w:t>
      </w:r>
      <w:r w:rsidRPr="001C19D3">
        <w:rPr>
          <w:rFonts w:ascii="Calibri" w:eastAsiaTheme="minorHAnsi" w:hAnsi="Calibri" w:cs="Calibri"/>
          <w:color w:val="000000"/>
          <w:sz w:val="24"/>
          <w:szCs w:val="24"/>
          <w:lang w:eastAsia="en-US"/>
        </w:rPr>
        <w:t xml:space="preserve">M le DRH </w:t>
      </w:r>
      <w:r w:rsidR="00B00BA8">
        <w:rPr>
          <w:rFonts w:ascii="Calibri" w:eastAsiaTheme="minorHAnsi" w:hAnsi="Calibri" w:cs="Calibri"/>
          <w:color w:val="000000"/>
          <w:sz w:val="24"/>
          <w:szCs w:val="24"/>
          <w:lang w:eastAsia="en-US"/>
        </w:rPr>
        <w:t xml:space="preserve">avait </w:t>
      </w:r>
      <w:r w:rsidRPr="001C19D3">
        <w:rPr>
          <w:rFonts w:ascii="Calibri" w:eastAsiaTheme="minorHAnsi" w:hAnsi="Calibri" w:cs="Calibri"/>
          <w:color w:val="000000"/>
          <w:sz w:val="24"/>
          <w:szCs w:val="24"/>
          <w:lang w:eastAsia="en-US"/>
        </w:rPr>
        <w:t xml:space="preserve"> reconnu l’existence de reliquats</w:t>
      </w:r>
      <w:r w:rsidR="00342D55">
        <w:rPr>
          <w:rFonts w:ascii="Calibri" w:eastAsiaTheme="minorHAnsi" w:hAnsi="Calibri" w:cs="Calibri"/>
          <w:color w:val="000000"/>
          <w:sz w:val="24"/>
          <w:szCs w:val="24"/>
          <w:lang w:eastAsia="en-US"/>
        </w:rPr>
        <w:t xml:space="preserve"> minimes et nous a</w:t>
      </w:r>
      <w:r w:rsidR="00BD725F">
        <w:rPr>
          <w:rFonts w:ascii="Calibri" w:eastAsiaTheme="minorHAnsi" w:hAnsi="Calibri" w:cs="Calibri"/>
          <w:color w:val="000000"/>
          <w:sz w:val="24"/>
          <w:szCs w:val="24"/>
          <w:lang w:eastAsia="en-US"/>
        </w:rPr>
        <w:t xml:space="preserve">vait </w:t>
      </w:r>
      <w:r w:rsidR="00342D55">
        <w:rPr>
          <w:rFonts w:ascii="Calibri" w:eastAsiaTheme="minorHAnsi" w:hAnsi="Calibri" w:cs="Calibri"/>
          <w:color w:val="000000"/>
          <w:sz w:val="24"/>
          <w:szCs w:val="24"/>
          <w:lang w:eastAsia="en-US"/>
        </w:rPr>
        <w:t xml:space="preserve"> expliqué qu’</w:t>
      </w:r>
      <w:r w:rsidRPr="001C19D3">
        <w:rPr>
          <w:rFonts w:ascii="Calibri" w:eastAsiaTheme="minorHAnsi" w:hAnsi="Calibri" w:cs="Calibri"/>
          <w:color w:val="000000"/>
          <w:sz w:val="24"/>
          <w:szCs w:val="24"/>
          <w:lang w:eastAsia="en-US"/>
        </w:rPr>
        <w:t>attribuer une somme dérisoire (</w:t>
      </w:r>
      <w:r w:rsidR="00862E7E">
        <w:rPr>
          <w:rFonts w:ascii="Calibri" w:eastAsiaTheme="minorHAnsi" w:hAnsi="Calibri" w:cs="Calibri"/>
          <w:color w:val="000000"/>
          <w:sz w:val="24"/>
          <w:szCs w:val="24"/>
          <w:lang w:eastAsia="en-US"/>
        </w:rPr>
        <w:t>quelques Euros)</w:t>
      </w:r>
      <w:r w:rsidRPr="001C19D3">
        <w:rPr>
          <w:rFonts w:ascii="Calibri" w:eastAsiaTheme="minorHAnsi" w:hAnsi="Calibri" w:cs="Calibri"/>
          <w:color w:val="000000"/>
          <w:sz w:val="24"/>
          <w:szCs w:val="24"/>
          <w:lang w:eastAsia="en-US"/>
        </w:rPr>
        <w:t xml:space="preserve"> à chaque agent serait un mauvais signal. Nous n’avions pas anticipé alors votre décision d’attribuer une somme bien plus conséquente à certains agents.</w:t>
      </w:r>
      <w:r w:rsidR="00862E7E">
        <w:rPr>
          <w:rFonts w:ascii="Calibri" w:eastAsiaTheme="minorHAnsi" w:hAnsi="Calibri" w:cs="Calibri"/>
          <w:color w:val="000000"/>
          <w:sz w:val="24"/>
          <w:szCs w:val="24"/>
          <w:lang w:eastAsia="en-US"/>
        </w:rPr>
        <w:t xml:space="preserve"> Cette attribution exceptionnelle a selon l’administration été faite lorsqu’une  « commande exceptionnelle » de l’administration a été faite à certains bureaux.</w:t>
      </w:r>
    </w:p>
    <w:p w:rsidR="001C19D3" w:rsidRDefault="001C19D3" w:rsidP="001C19D3">
      <w:pPr>
        <w:adjustRightInd w:val="0"/>
        <w:spacing w:before="100" w:after="100"/>
        <w:rPr>
          <w:rFonts w:ascii="Calibri" w:eastAsiaTheme="minorHAnsi" w:hAnsi="Calibri" w:cs="Calibri"/>
          <w:color w:val="000000"/>
          <w:sz w:val="24"/>
          <w:szCs w:val="24"/>
          <w:lang w:eastAsia="en-US"/>
        </w:rPr>
      </w:pPr>
      <w:r w:rsidRPr="001C19D3">
        <w:rPr>
          <w:rFonts w:ascii="Calibri" w:eastAsiaTheme="minorHAnsi" w:hAnsi="Calibri" w:cs="Calibri"/>
          <w:color w:val="000000"/>
          <w:sz w:val="24"/>
          <w:szCs w:val="24"/>
          <w:lang w:eastAsia="en-US"/>
        </w:rPr>
        <w:t xml:space="preserve">Pour nous il s’agit d’un signal bien pire, d’autant plus que l’attribution à certains services </w:t>
      </w:r>
      <w:r w:rsidR="006B5ED6">
        <w:rPr>
          <w:rFonts w:ascii="Calibri" w:eastAsiaTheme="minorHAnsi" w:hAnsi="Calibri" w:cs="Calibri"/>
          <w:color w:val="000000"/>
          <w:sz w:val="24"/>
          <w:szCs w:val="24"/>
          <w:lang w:eastAsia="en-US"/>
        </w:rPr>
        <w:t>n’a pas été faite dans le cadre aujourd’hui règlementaire du CIA (dispositif que nous condamnons d’ailleurs, car il ouvre encore plus grand la porte à l’arbitraire et à la relation individuelle avec le supérieur hiérarchique)</w:t>
      </w:r>
      <w:r w:rsidR="00342D55">
        <w:rPr>
          <w:rFonts w:ascii="Calibri" w:eastAsiaTheme="minorHAnsi" w:hAnsi="Calibri" w:cs="Calibri"/>
          <w:color w:val="000000"/>
          <w:sz w:val="24"/>
          <w:szCs w:val="24"/>
          <w:lang w:eastAsia="en-US"/>
        </w:rPr>
        <w:t>.</w:t>
      </w:r>
    </w:p>
    <w:p w:rsidR="00862E7E" w:rsidRPr="001C19D3" w:rsidRDefault="00862E7E" w:rsidP="001C19D3">
      <w:pPr>
        <w:adjustRightInd w:val="0"/>
        <w:spacing w:before="100" w:after="100"/>
        <w:rPr>
          <w:rFonts w:eastAsiaTheme="minorHAnsi"/>
          <w:sz w:val="24"/>
          <w:szCs w:val="24"/>
          <w:lang w:eastAsia="en-US"/>
        </w:rPr>
      </w:pPr>
      <w:r>
        <w:rPr>
          <w:rFonts w:ascii="Calibri" w:eastAsiaTheme="minorHAnsi" w:hAnsi="Calibri" w:cs="Calibri"/>
          <w:color w:val="000000"/>
          <w:sz w:val="24"/>
          <w:szCs w:val="24"/>
          <w:lang w:eastAsia="en-US"/>
        </w:rPr>
        <w:t>Nous nous réjouissons pour les agents qui ont reçu ce petit coup de pouce pour un travail bien réel celui</w:t>
      </w:r>
      <w:r w:rsidR="00DA3B8F">
        <w:rPr>
          <w:rFonts w:ascii="Calibri" w:eastAsiaTheme="minorHAnsi" w:hAnsi="Calibri" w:cs="Calibri"/>
          <w:color w:val="000000"/>
          <w:sz w:val="24"/>
          <w:szCs w:val="24"/>
          <w:lang w:eastAsia="en-US"/>
        </w:rPr>
        <w:t>-</w:t>
      </w:r>
      <w:r>
        <w:rPr>
          <w:rFonts w:ascii="Calibri" w:eastAsiaTheme="minorHAnsi" w:hAnsi="Calibri" w:cs="Calibri"/>
          <w:color w:val="000000"/>
          <w:sz w:val="24"/>
          <w:szCs w:val="24"/>
          <w:lang w:eastAsia="en-US"/>
        </w:rPr>
        <w:t xml:space="preserve"> là </w:t>
      </w:r>
      <w:r w:rsidR="00DA3B8F">
        <w:rPr>
          <w:rFonts w:ascii="Calibri" w:eastAsiaTheme="minorHAnsi" w:hAnsi="Calibri" w:cs="Calibri"/>
          <w:color w:val="000000"/>
          <w:sz w:val="24"/>
          <w:szCs w:val="24"/>
          <w:lang w:eastAsia="en-US"/>
        </w:rPr>
        <w:t xml:space="preserve"> </w:t>
      </w:r>
      <w:r>
        <w:rPr>
          <w:rFonts w:ascii="Calibri" w:eastAsiaTheme="minorHAnsi" w:hAnsi="Calibri" w:cs="Calibri"/>
          <w:color w:val="000000"/>
          <w:sz w:val="24"/>
          <w:szCs w:val="24"/>
          <w:lang w:eastAsia="en-US"/>
        </w:rPr>
        <w:t xml:space="preserve">(l’actualité politique nous montrant que parfois on rémunère des tâches moins tangibles). Toutefois nous constatons qu’en </w:t>
      </w:r>
      <w:r w:rsidR="00E90E3B">
        <w:rPr>
          <w:rFonts w:ascii="Calibri" w:eastAsiaTheme="minorHAnsi" w:hAnsi="Calibri" w:cs="Calibri"/>
          <w:color w:val="000000"/>
          <w:sz w:val="24"/>
          <w:szCs w:val="24"/>
          <w:lang w:eastAsia="en-US"/>
        </w:rPr>
        <w:t>ne dispensant a</w:t>
      </w:r>
      <w:r>
        <w:rPr>
          <w:rFonts w:ascii="Calibri" w:eastAsiaTheme="minorHAnsi" w:hAnsi="Calibri" w:cs="Calibri"/>
          <w:color w:val="000000"/>
          <w:sz w:val="24"/>
          <w:szCs w:val="24"/>
          <w:lang w:eastAsia="en-US"/>
        </w:rPr>
        <w:t>ucune communication sur ce sujet l’administration continue de rendre opaque sa gestion de l’indemnitaire</w:t>
      </w:r>
      <w:r w:rsidR="006B5ED6">
        <w:rPr>
          <w:rFonts w:ascii="Calibri" w:eastAsiaTheme="minorHAnsi" w:hAnsi="Calibri" w:cs="Calibri"/>
          <w:color w:val="000000"/>
          <w:sz w:val="24"/>
          <w:szCs w:val="24"/>
          <w:lang w:eastAsia="en-US"/>
        </w:rPr>
        <w:t>.</w:t>
      </w:r>
    </w:p>
    <w:p w:rsidR="001C19D3" w:rsidRPr="001C19D3" w:rsidRDefault="006B5ED6" w:rsidP="001C19D3">
      <w:pPr>
        <w:adjustRightInd w:val="0"/>
        <w:spacing w:before="100" w:after="100"/>
        <w:rPr>
          <w:rFonts w:eastAsiaTheme="minorHAnsi"/>
          <w:sz w:val="24"/>
          <w:szCs w:val="24"/>
          <w:lang w:eastAsia="en-US"/>
        </w:rPr>
      </w:pPr>
      <w:r>
        <w:rPr>
          <w:rFonts w:ascii="Calibri" w:eastAsiaTheme="minorHAnsi" w:hAnsi="Calibri" w:cs="Calibri"/>
          <w:color w:val="000000"/>
          <w:sz w:val="24"/>
          <w:szCs w:val="24"/>
          <w:lang w:eastAsia="en-US"/>
        </w:rPr>
        <w:t>Nous continuons et continuerons donc d’interroger l’administration sur les répartitions des reliquats de fin d’année. Sans oublier de demander à demander à Madame la rectrice,  si certains reliquats ont été octroyés à  l’encadrement supérieur, au risque d’être ta</w:t>
      </w:r>
      <w:r w:rsidR="009616A0">
        <w:rPr>
          <w:rFonts w:ascii="Calibri" w:eastAsiaTheme="minorHAnsi" w:hAnsi="Calibri" w:cs="Calibri"/>
          <w:color w:val="000000"/>
          <w:sz w:val="24"/>
          <w:szCs w:val="24"/>
          <w:lang w:eastAsia="en-US"/>
        </w:rPr>
        <w:t>xés</w:t>
      </w:r>
      <w:r>
        <w:rPr>
          <w:rFonts w:ascii="Calibri" w:eastAsiaTheme="minorHAnsi" w:hAnsi="Calibri" w:cs="Calibri"/>
          <w:color w:val="000000"/>
          <w:sz w:val="24"/>
          <w:szCs w:val="24"/>
          <w:lang w:eastAsia="en-US"/>
        </w:rPr>
        <w:t xml:space="preserve"> de </w:t>
      </w:r>
      <w:r w:rsidR="00342D55">
        <w:rPr>
          <w:rFonts w:ascii="Calibri" w:eastAsiaTheme="minorHAnsi" w:hAnsi="Calibri" w:cs="Calibri"/>
          <w:color w:val="000000"/>
          <w:sz w:val="24"/>
          <w:szCs w:val="24"/>
          <w:lang w:eastAsia="en-US"/>
        </w:rPr>
        <w:t xml:space="preserve">mauvais esprits </w:t>
      </w:r>
      <w:r>
        <w:rPr>
          <w:rFonts w:ascii="Calibri" w:eastAsiaTheme="minorHAnsi" w:hAnsi="Calibri" w:cs="Calibri"/>
          <w:color w:val="000000"/>
          <w:sz w:val="24"/>
          <w:szCs w:val="24"/>
          <w:lang w:eastAsia="en-US"/>
        </w:rPr>
        <w:t>populistes (mot devenu à la mode dès qu</w:t>
      </w:r>
      <w:r w:rsidR="00AA2C15">
        <w:rPr>
          <w:rFonts w:ascii="Calibri" w:eastAsiaTheme="minorHAnsi" w:hAnsi="Calibri" w:cs="Calibri"/>
          <w:color w:val="000000"/>
          <w:sz w:val="24"/>
          <w:szCs w:val="24"/>
          <w:lang w:eastAsia="en-US"/>
        </w:rPr>
        <w:t>e l</w:t>
      </w:r>
      <w:r>
        <w:rPr>
          <w:rFonts w:ascii="Calibri" w:eastAsiaTheme="minorHAnsi" w:hAnsi="Calibri" w:cs="Calibri"/>
          <w:color w:val="000000"/>
          <w:sz w:val="24"/>
          <w:szCs w:val="24"/>
          <w:lang w:eastAsia="en-US"/>
        </w:rPr>
        <w:t>’on n’est plus dans le politiquement correct et la co</w:t>
      </w:r>
      <w:r w:rsidR="0073494D">
        <w:rPr>
          <w:rFonts w:ascii="Calibri" w:eastAsiaTheme="minorHAnsi" w:hAnsi="Calibri" w:cs="Calibri"/>
          <w:color w:val="000000"/>
          <w:sz w:val="24"/>
          <w:szCs w:val="24"/>
          <w:lang w:eastAsia="en-US"/>
        </w:rPr>
        <w:t>mpromission</w:t>
      </w:r>
      <w:r>
        <w:rPr>
          <w:rFonts w:ascii="Calibri" w:eastAsiaTheme="minorHAnsi" w:hAnsi="Calibri" w:cs="Calibri"/>
          <w:color w:val="000000"/>
          <w:sz w:val="24"/>
          <w:szCs w:val="24"/>
          <w:lang w:eastAsia="en-US"/>
        </w:rPr>
        <w:t>).</w:t>
      </w:r>
    </w:p>
    <w:p w:rsidR="00893D07" w:rsidRDefault="006B5ED6" w:rsidP="0097148F">
      <w:pPr>
        <w:pStyle w:val="Corpsdetexte"/>
        <w:ind w:right="-236"/>
        <w:rPr>
          <w:sz w:val="24"/>
          <w:szCs w:val="24"/>
        </w:rPr>
      </w:pPr>
      <w:r>
        <w:rPr>
          <w:sz w:val="24"/>
          <w:szCs w:val="24"/>
        </w:rPr>
        <w:t>L’administration doit assumer ses choix, encore faut-il les énoncer.</w:t>
      </w:r>
      <w:r w:rsidR="0097148F">
        <w:rPr>
          <w:sz w:val="24"/>
          <w:szCs w:val="24"/>
        </w:rPr>
        <w:t xml:space="preserve"> </w:t>
      </w:r>
    </w:p>
    <w:p w:rsidR="00461528" w:rsidRDefault="00461528" w:rsidP="0097148F">
      <w:pPr>
        <w:pStyle w:val="Corpsdetexte"/>
        <w:ind w:right="-236"/>
        <w:rPr>
          <w:sz w:val="24"/>
          <w:szCs w:val="24"/>
        </w:rPr>
      </w:pPr>
      <w:bookmarkStart w:id="0" w:name="_GoBack"/>
      <w:bookmarkEnd w:id="0"/>
    </w:p>
    <w:p w:rsidR="0097148F" w:rsidRDefault="0097148F" w:rsidP="0097148F">
      <w:pPr>
        <w:pStyle w:val="Corpsdetexte"/>
        <w:ind w:right="-236"/>
        <w:rPr>
          <w:rFonts w:ascii="Calibri" w:hAnsi="Calibri"/>
          <w:sz w:val="24"/>
          <w:szCs w:val="24"/>
        </w:rPr>
      </w:pPr>
      <w:r w:rsidRPr="00893D07">
        <w:rPr>
          <w:rFonts w:ascii="Calibri" w:hAnsi="Calibri"/>
          <w:b/>
          <w:sz w:val="24"/>
          <w:szCs w:val="24"/>
        </w:rPr>
        <w:t>Les risques psycho-sociaux au sein des DSDEN de l’Ariège, du Tarn et des Hautes-Pyrénées</w:t>
      </w:r>
      <w:r w:rsidR="00893D07">
        <w:rPr>
          <w:rFonts w:ascii="Calibri" w:hAnsi="Calibri"/>
          <w:b/>
          <w:sz w:val="24"/>
          <w:szCs w:val="24"/>
        </w:rPr>
        <w:t> :</w:t>
      </w:r>
    </w:p>
    <w:p w:rsidR="0097148F" w:rsidRPr="0097148F" w:rsidRDefault="0097148F" w:rsidP="0097148F">
      <w:pPr>
        <w:pStyle w:val="Corpsdetexte"/>
        <w:ind w:right="-236"/>
        <w:rPr>
          <w:rFonts w:ascii="Calibri" w:hAnsi="Calibri"/>
          <w:sz w:val="24"/>
          <w:szCs w:val="24"/>
        </w:rPr>
      </w:pPr>
      <w:r>
        <w:rPr>
          <w:rFonts w:ascii="Calibri" w:hAnsi="Calibri"/>
          <w:sz w:val="24"/>
          <w:szCs w:val="24"/>
        </w:rPr>
        <w:t xml:space="preserve"> </w:t>
      </w:r>
      <w:r w:rsidRPr="0097148F">
        <w:rPr>
          <w:rFonts w:ascii="Calibri" w:hAnsi="Calibri"/>
          <w:sz w:val="24"/>
          <w:szCs w:val="24"/>
        </w:rPr>
        <w:t>Lors du dernier CTSA, l’UNSA a, à juste titre, mis en avant la situation de certains</w:t>
      </w:r>
      <w:r>
        <w:rPr>
          <w:rFonts w:ascii="Calibri" w:hAnsi="Calibri"/>
          <w:sz w:val="24"/>
          <w:szCs w:val="24"/>
        </w:rPr>
        <w:t xml:space="preserve"> </w:t>
      </w:r>
      <w:r w:rsidRPr="0097148F">
        <w:rPr>
          <w:rFonts w:ascii="Calibri" w:hAnsi="Calibri"/>
          <w:sz w:val="24"/>
          <w:szCs w:val="24"/>
        </w:rPr>
        <w:t>personnels au sein de ces trois DSDEN.</w:t>
      </w:r>
    </w:p>
    <w:p w:rsidR="0097148F" w:rsidRPr="0097148F" w:rsidRDefault="0097148F" w:rsidP="0097148F">
      <w:pPr>
        <w:pStyle w:val="Corpsdetexte"/>
        <w:ind w:right="-236"/>
        <w:rPr>
          <w:rFonts w:ascii="Calibri" w:hAnsi="Calibri"/>
          <w:sz w:val="24"/>
          <w:szCs w:val="24"/>
        </w:rPr>
      </w:pPr>
      <w:r w:rsidRPr="0097148F">
        <w:rPr>
          <w:rFonts w:ascii="Calibri" w:hAnsi="Calibri"/>
          <w:sz w:val="24"/>
          <w:szCs w:val="24"/>
        </w:rPr>
        <w:t>A notre grand étonnement ce point n’est pas placé à l’ordre du jour du présent CTSA à</w:t>
      </w:r>
      <w:r w:rsidR="00D21788">
        <w:rPr>
          <w:rFonts w:ascii="Calibri" w:hAnsi="Calibri"/>
          <w:sz w:val="24"/>
          <w:szCs w:val="24"/>
        </w:rPr>
        <w:t xml:space="preserve"> </w:t>
      </w:r>
      <w:r w:rsidRPr="0097148F">
        <w:rPr>
          <w:rFonts w:ascii="Calibri" w:hAnsi="Calibri"/>
          <w:sz w:val="24"/>
          <w:szCs w:val="24"/>
        </w:rPr>
        <w:t>moins qu’il ne soit abordé dans les questions diverses. Si tel était le cas, cela démontrerait</w:t>
      </w:r>
      <w:r w:rsidR="00D21788">
        <w:rPr>
          <w:rFonts w:ascii="Calibri" w:hAnsi="Calibri"/>
          <w:sz w:val="24"/>
          <w:szCs w:val="24"/>
        </w:rPr>
        <w:t xml:space="preserve"> </w:t>
      </w:r>
      <w:r w:rsidRPr="0097148F">
        <w:rPr>
          <w:rFonts w:ascii="Calibri" w:hAnsi="Calibri"/>
          <w:sz w:val="24"/>
          <w:szCs w:val="24"/>
        </w:rPr>
        <w:t>tout de même le peu d’intérêt que l’administration porte à ces situations.</w:t>
      </w:r>
      <w:r w:rsidR="00893D07">
        <w:rPr>
          <w:rFonts w:ascii="Calibri" w:hAnsi="Calibri"/>
          <w:sz w:val="24"/>
          <w:szCs w:val="24"/>
        </w:rPr>
        <w:t xml:space="preserve"> </w:t>
      </w:r>
      <w:r w:rsidRPr="0097148F">
        <w:rPr>
          <w:rFonts w:ascii="Calibri" w:hAnsi="Calibri"/>
          <w:sz w:val="24"/>
          <w:szCs w:val="24"/>
        </w:rPr>
        <w:t>Selon nous, ce point aurait dû être abordé prioritairement, dans les points de l’ordre du</w:t>
      </w:r>
      <w:r w:rsidR="00D21788">
        <w:rPr>
          <w:rFonts w:ascii="Calibri" w:hAnsi="Calibri"/>
          <w:sz w:val="24"/>
          <w:szCs w:val="24"/>
        </w:rPr>
        <w:t xml:space="preserve"> </w:t>
      </w:r>
      <w:r w:rsidRPr="0097148F">
        <w:rPr>
          <w:rFonts w:ascii="Calibri" w:hAnsi="Calibri"/>
          <w:sz w:val="24"/>
          <w:szCs w:val="24"/>
        </w:rPr>
        <w:t>jour.</w:t>
      </w:r>
    </w:p>
    <w:p w:rsidR="0097148F" w:rsidRPr="0097148F" w:rsidRDefault="0097148F" w:rsidP="0097148F">
      <w:pPr>
        <w:pStyle w:val="Corpsdetexte"/>
        <w:ind w:right="-236"/>
        <w:rPr>
          <w:rFonts w:ascii="Calibri" w:hAnsi="Calibri"/>
          <w:sz w:val="24"/>
          <w:szCs w:val="24"/>
        </w:rPr>
      </w:pPr>
      <w:r w:rsidRPr="0097148F">
        <w:rPr>
          <w:rFonts w:ascii="Calibri" w:hAnsi="Calibri"/>
          <w:sz w:val="24"/>
          <w:szCs w:val="24"/>
        </w:rPr>
        <w:t>Nous demandons donc à ce qu’un point détaillé sur l’état actuel de ces situations soit fourni</w:t>
      </w:r>
      <w:r>
        <w:rPr>
          <w:rFonts w:ascii="Calibri" w:hAnsi="Calibri"/>
          <w:sz w:val="24"/>
          <w:szCs w:val="24"/>
        </w:rPr>
        <w:t xml:space="preserve"> </w:t>
      </w:r>
      <w:r w:rsidRPr="0097148F">
        <w:rPr>
          <w:rFonts w:ascii="Calibri" w:hAnsi="Calibri"/>
          <w:sz w:val="24"/>
          <w:szCs w:val="24"/>
        </w:rPr>
        <w:t>par l’administration aux représentants des organisations syndicales siégeant au CTSA et</w:t>
      </w:r>
      <w:r w:rsidR="00D21788">
        <w:rPr>
          <w:rFonts w:ascii="Calibri" w:hAnsi="Calibri"/>
          <w:sz w:val="24"/>
          <w:szCs w:val="24"/>
        </w:rPr>
        <w:t xml:space="preserve"> </w:t>
      </w:r>
      <w:r w:rsidRPr="0097148F">
        <w:rPr>
          <w:rFonts w:ascii="Calibri" w:hAnsi="Calibri"/>
          <w:sz w:val="24"/>
          <w:szCs w:val="24"/>
        </w:rPr>
        <w:t>notamment sur les actions de fond qui ont pu être menées afin de remédier à des méthodes</w:t>
      </w:r>
      <w:r w:rsidR="00D21788">
        <w:rPr>
          <w:rFonts w:ascii="Calibri" w:hAnsi="Calibri"/>
          <w:sz w:val="24"/>
          <w:szCs w:val="24"/>
        </w:rPr>
        <w:t xml:space="preserve"> </w:t>
      </w:r>
      <w:r w:rsidRPr="0097148F">
        <w:rPr>
          <w:rFonts w:ascii="Calibri" w:hAnsi="Calibri"/>
          <w:sz w:val="24"/>
          <w:szCs w:val="24"/>
        </w:rPr>
        <w:t>de management éculées.</w:t>
      </w:r>
      <w:r>
        <w:rPr>
          <w:rFonts w:ascii="Calibri" w:hAnsi="Calibri"/>
          <w:sz w:val="24"/>
          <w:szCs w:val="24"/>
        </w:rPr>
        <w:t xml:space="preserve"> </w:t>
      </w:r>
      <w:r w:rsidRPr="0097148F">
        <w:rPr>
          <w:rFonts w:ascii="Calibri" w:hAnsi="Calibri"/>
          <w:sz w:val="24"/>
          <w:szCs w:val="24"/>
        </w:rPr>
        <w:t>Nous ne pouvons</w:t>
      </w:r>
      <w:r w:rsidR="00D21788">
        <w:rPr>
          <w:rFonts w:ascii="Calibri" w:hAnsi="Calibri"/>
          <w:sz w:val="24"/>
          <w:szCs w:val="24"/>
        </w:rPr>
        <w:t>-</w:t>
      </w:r>
      <w:r w:rsidRPr="0097148F">
        <w:rPr>
          <w:rFonts w:ascii="Calibri" w:hAnsi="Calibri"/>
          <w:sz w:val="24"/>
          <w:szCs w:val="24"/>
        </w:rPr>
        <w:t xml:space="preserve"> nous satisfaire de l’annonce faite lors du dernier CTSA de mesures</w:t>
      </w:r>
      <w:r>
        <w:rPr>
          <w:rFonts w:ascii="Calibri" w:hAnsi="Calibri"/>
          <w:sz w:val="24"/>
          <w:szCs w:val="24"/>
        </w:rPr>
        <w:t xml:space="preserve"> </w:t>
      </w:r>
      <w:r w:rsidRPr="0097148F">
        <w:rPr>
          <w:rFonts w:ascii="Calibri" w:hAnsi="Calibri"/>
          <w:sz w:val="24"/>
          <w:szCs w:val="24"/>
        </w:rPr>
        <w:t>purement cosmétiques.</w:t>
      </w:r>
    </w:p>
    <w:p w:rsidR="0097148F" w:rsidRPr="0097148F" w:rsidRDefault="0097148F" w:rsidP="0097148F">
      <w:pPr>
        <w:pStyle w:val="Corpsdetexte"/>
        <w:ind w:right="-236"/>
        <w:rPr>
          <w:rFonts w:ascii="Calibri" w:hAnsi="Calibri"/>
          <w:sz w:val="24"/>
          <w:szCs w:val="24"/>
        </w:rPr>
      </w:pPr>
      <w:r w:rsidRPr="0097148F">
        <w:rPr>
          <w:rFonts w:ascii="Calibri" w:hAnsi="Calibri"/>
          <w:sz w:val="24"/>
          <w:szCs w:val="24"/>
        </w:rPr>
        <w:t>Aussi, souhaiterions nous savoir si des sanctions disciplinaires ont été prises à l’encontre de</w:t>
      </w:r>
      <w:r w:rsidR="00D21788">
        <w:rPr>
          <w:rFonts w:ascii="Calibri" w:hAnsi="Calibri"/>
          <w:sz w:val="24"/>
          <w:szCs w:val="24"/>
        </w:rPr>
        <w:t xml:space="preserve"> </w:t>
      </w:r>
      <w:r w:rsidRPr="0097148F">
        <w:rPr>
          <w:rFonts w:ascii="Calibri" w:hAnsi="Calibri"/>
          <w:sz w:val="24"/>
          <w:szCs w:val="24"/>
        </w:rPr>
        <w:t>certains personnels de ces hiérarchies locales (sans citation de leurs identités</w:t>
      </w:r>
      <w:r>
        <w:rPr>
          <w:rFonts w:ascii="Calibri" w:hAnsi="Calibri"/>
          <w:sz w:val="24"/>
          <w:szCs w:val="24"/>
        </w:rPr>
        <w:t xml:space="preserve"> </w:t>
      </w:r>
      <w:r w:rsidRPr="0097148F">
        <w:rPr>
          <w:rFonts w:ascii="Calibri" w:hAnsi="Calibri"/>
          <w:sz w:val="24"/>
          <w:szCs w:val="24"/>
        </w:rPr>
        <w:t>naturellement), nous souhaiterions également disposer d’indicateurs fiables concernant par</w:t>
      </w:r>
      <w:r>
        <w:rPr>
          <w:rFonts w:ascii="Calibri" w:hAnsi="Calibri"/>
          <w:sz w:val="24"/>
          <w:szCs w:val="24"/>
        </w:rPr>
        <w:t xml:space="preserve"> </w:t>
      </w:r>
      <w:r w:rsidRPr="0097148F">
        <w:rPr>
          <w:rFonts w:ascii="Calibri" w:hAnsi="Calibri"/>
          <w:sz w:val="24"/>
          <w:szCs w:val="24"/>
        </w:rPr>
        <w:t>exemple le nombre d’arrêts de travail chez les personnels administratifs de ces 3 DSDEN sur</w:t>
      </w:r>
      <w:r w:rsidR="00F8251D">
        <w:rPr>
          <w:rFonts w:ascii="Calibri" w:hAnsi="Calibri"/>
          <w:sz w:val="24"/>
          <w:szCs w:val="24"/>
        </w:rPr>
        <w:t xml:space="preserve"> </w:t>
      </w:r>
      <w:r w:rsidRPr="0097148F">
        <w:rPr>
          <w:rFonts w:ascii="Calibri" w:hAnsi="Calibri"/>
          <w:sz w:val="24"/>
          <w:szCs w:val="24"/>
        </w:rPr>
        <w:t>l’année scolaire 2016/2017 et sur l’année scolaire 2015/2016 afin d’établir un comparatif.</w:t>
      </w:r>
    </w:p>
    <w:sectPr w:rsidR="0097148F" w:rsidRPr="0097148F" w:rsidSect="00F8251D">
      <w:pgSz w:w="11906" w:h="16838"/>
      <w:pgMar w:top="851" w:right="1418" w:bottom="96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82B31"/>
    <w:multiLevelType w:val="hybridMultilevel"/>
    <w:tmpl w:val="59D6F6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88E5F4A"/>
    <w:multiLevelType w:val="hybridMultilevel"/>
    <w:tmpl w:val="EA08DB70"/>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040"/>
    <w:rsid w:val="0007639B"/>
    <w:rsid w:val="000F29D3"/>
    <w:rsid w:val="00191BF6"/>
    <w:rsid w:val="001C19D3"/>
    <w:rsid w:val="001C24ED"/>
    <w:rsid w:val="00342D55"/>
    <w:rsid w:val="00342F72"/>
    <w:rsid w:val="0035186B"/>
    <w:rsid w:val="00461528"/>
    <w:rsid w:val="004C729B"/>
    <w:rsid w:val="004F1D63"/>
    <w:rsid w:val="005036D2"/>
    <w:rsid w:val="005C77F8"/>
    <w:rsid w:val="005E2F26"/>
    <w:rsid w:val="005F0DE0"/>
    <w:rsid w:val="00620100"/>
    <w:rsid w:val="00621E8A"/>
    <w:rsid w:val="006B5ED6"/>
    <w:rsid w:val="0073494D"/>
    <w:rsid w:val="007E7C05"/>
    <w:rsid w:val="00862E7E"/>
    <w:rsid w:val="00875040"/>
    <w:rsid w:val="00893D07"/>
    <w:rsid w:val="008A2285"/>
    <w:rsid w:val="009468E4"/>
    <w:rsid w:val="009616A0"/>
    <w:rsid w:val="0097148F"/>
    <w:rsid w:val="0097253F"/>
    <w:rsid w:val="009918DD"/>
    <w:rsid w:val="00A00AFC"/>
    <w:rsid w:val="00A10082"/>
    <w:rsid w:val="00AA2C15"/>
    <w:rsid w:val="00AF5DD9"/>
    <w:rsid w:val="00B00BA8"/>
    <w:rsid w:val="00B06B15"/>
    <w:rsid w:val="00B7692E"/>
    <w:rsid w:val="00B81671"/>
    <w:rsid w:val="00BD725F"/>
    <w:rsid w:val="00CC7117"/>
    <w:rsid w:val="00D103FE"/>
    <w:rsid w:val="00D21788"/>
    <w:rsid w:val="00D26CFF"/>
    <w:rsid w:val="00DA3B8F"/>
    <w:rsid w:val="00E90E3B"/>
    <w:rsid w:val="00F8251D"/>
    <w:rsid w:val="00F973D0"/>
    <w:rsid w:val="00FA60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D4BE05-5E10-43E0-8DD4-44E0F2418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040"/>
    <w:pPr>
      <w:autoSpaceDE w:val="0"/>
      <w:autoSpaceDN w:val="0"/>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unhideWhenUsed/>
    <w:rsid w:val="00875040"/>
    <w:pPr>
      <w:spacing w:after="120"/>
    </w:pPr>
  </w:style>
  <w:style w:type="character" w:customStyle="1" w:styleId="CorpsdetexteCar">
    <w:name w:val="Corps de texte Car"/>
    <w:basedOn w:val="Policepardfaut"/>
    <w:link w:val="Corpsdetexte"/>
    <w:semiHidden/>
    <w:rsid w:val="00875040"/>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9468E4"/>
    <w:pPr>
      <w:ind w:left="720"/>
      <w:contextualSpacing/>
    </w:pPr>
  </w:style>
  <w:style w:type="paragraph" w:styleId="Textedebulles">
    <w:name w:val="Balloon Text"/>
    <w:basedOn w:val="Normal"/>
    <w:link w:val="TextedebullesCar"/>
    <w:uiPriority w:val="99"/>
    <w:semiHidden/>
    <w:unhideWhenUsed/>
    <w:rsid w:val="009918DD"/>
    <w:rPr>
      <w:rFonts w:ascii="Tahoma" w:hAnsi="Tahoma" w:cs="Tahoma"/>
      <w:sz w:val="16"/>
      <w:szCs w:val="16"/>
    </w:rPr>
  </w:style>
  <w:style w:type="character" w:customStyle="1" w:styleId="TextedebullesCar">
    <w:name w:val="Texte de bulles Car"/>
    <w:basedOn w:val="Policepardfaut"/>
    <w:link w:val="Textedebulles"/>
    <w:uiPriority w:val="99"/>
    <w:semiHidden/>
    <w:rsid w:val="009918DD"/>
    <w:rPr>
      <w:rFonts w:ascii="Tahoma" w:eastAsia="Times New Roman" w:hAnsi="Tahoma" w:cs="Tahoma"/>
      <w:sz w:val="16"/>
      <w:szCs w:val="16"/>
      <w:lang w:eastAsia="fr-FR"/>
    </w:rPr>
  </w:style>
  <w:style w:type="character" w:styleId="Lienhypertexte">
    <w:name w:val="Hyperlink"/>
    <w:semiHidden/>
    <w:rsid w:val="00FA60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316722">
      <w:bodyDiv w:val="1"/>
      <w:marLeft w:val="0"/>
      <w:marRight w:val="0"/>
      <w:marTop w:val="0"/>
      <w:marBottom w:val="0"/>
      <w:divBdr>
        <w:top w:val="none" w:sz="0" w:space="0" w:color="auto"/>
        <w:left w:val="none" w:sz="0" w:space="0" w:color="auto"/>
        <w:bottom w:val="none" w:sz="0" w:space="0" w:color="auto"/>
        <w:right w:val="none" w:sz="0" w:space="0" w:color="auto"/>
      </w:divBdr>
    </w:div>
    <w:div w:id="105821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aseen31@gmail.com" TargetMode="External"/><Relationship Id="rId5" Type="http://schemas.openxmlformats.org/officeDocument/2006/relationships/hyperlink" Target="mailto:spaseen31@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936</Words>
  <Characters>5154</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6078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dc:creator>
  <cp:lastModifiedBy>vincent fasan</cp:lastModifiedBy>
  <cp:revision>24</cp:revision>
  <dcterms:created xsi:type="dcterms:W3CDTF">2017-03-04T11:58:00Z</dcterms:created>
  <dcterms:modified xsi:type="dcterms:W3CDTF">2017-03-04T12:58:00Z</dcterms:modified>
</cp:coreProperties>
</file>